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отчету о работе Контрольно-счетной палаты при Собрании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депутатов Ульчского муниципального района Хабаровского края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 2012 год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F3F" w:rsidRPr="00163F3F" w:rsidRDefault="00163F3F" w:rsidP="002A5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Вводные положения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163F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 о работе Контрольно-счетной палаты при Собрании депутатов Ульчского муниципального района Хабаровского края за 2012 год (далее - Контрольно-счетная палата)  представляется на рассмотрение Собрани</w:t>
      </w:r>
      <w:r w:rsidR="007C3F7F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депутатов Ульчского муниципального района Хабаровского края (далее -   Собрание депутатов)  в соответствии с требованиями статьи 20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Положения «О Контрольно-счетной палате при Собрании депутатов Ульчского     муниципального района Хабаровского края», утвержденного решением Собрания депутатов от 16.09.2011 № 339 (далее - Положение «О        Контрольно-счетной палате»).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 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Деятельность Контрольно-счетной палаты за отчетный период           осуществлялась в соответствии с планом работы на 2012 год, утвержденным распоряжением председателя Контрольно-счетной палаты от 25.01.2012 № 4 и поручениями председателя Собрания депутатов и главы района.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  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отчете отражена деятельность Контрольно-счетной палаты за 2012 год по реализации задач, установленных Бюджетным кодексом Российской     Федерации, Федеральными  законами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 — Федеральный закон № 6-ФЗ) и от 6 октября 2003 года  № 131-ФЗ «Об общих принципах организации местного самоуправления в Российской Федерации», Уставом Ульчского муниципального района,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Положением «О Контрольно-счетной палате», Положением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«О бюджетном процессе в Ульчском      муниципалом районе» утвержденным решениями Собрания депутатов от 10.02.2012 № 394 и от 31.10.2012 № 447,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иными законодательными и нормативными правовыми актами Российской Федерации,  Хабаровского края и Ульчского муниципального района. 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Pr="00163F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Приоритетным направлением деятельности Контрольно-с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четной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палаты в 2012 году было проведение комплекса контрольных и экспертно-аналитических мероприятий, связанных с решением задач, вытекающих из требований бюджетного законодательства и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Положения «О Контрольно-счетной палате»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В этих целях особое внимание уделялось контролю за формированием и исполнением  бюджета района, оценке эффективности и целевого использования бюджетных средств,  исполнением бюджетных полномочий главными администраторами бюджетных средств, проведению работы по повышению уровня финансовой дисциплины всех участников бюджетного процесса,</w:t>
      </w:r>
      <w:r w:rsidR="002A5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кспертизе проектов нормативных правовых актов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муниципального района, в части касающихся расходных обязательств бюджета района, развитию       взаимодействия Контрольно-с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четной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палаты с администрацией района,      Собранием депутатов, муниципальными учреждениями, обеспечению       прозрачности и публичности деятельности Контрольно-с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четной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палаты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 Правовой статус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Контрольно-счетной палаты</w:t>
      </w:r>
      <w:r w:rsidRPr="00163F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, численность 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и профессиональная подготовка сотрудников 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В соответствии с Уставом Ульчского муниципального района Контрольно-счетная палата является органом местного самоуправления  и  не обладает правами юридического лица. 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Штатная и фактическая численность сотрудников Контрольно-счетной палаты составляет два человека: председатель  Контрольно-счетной палаты и инспектор. 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Председатель Контрольно-счетной палаты и инспектор имеют высшее профессиональное образование и стаж муниципальной службы  по               состоянию 01.01.2013 года 18 лет 10 месяцев и 18 лет 11 месяцев,                соответственно. 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Председатель Контрольно-счетной палаты прошел обучение на курсах повышения квалификации по программе «Финансовый контроль и управление бюджетными ресурсами муниципальных образований»  в Высшей школе управления и экономической безопасности федерального государственного бюджетного образовательного учреждения профессионального образования «Российский университет дружбы народов». </w:t>
      </w: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3. Основные итоги работы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Контрольно-с</w:t>
      </w:r>
      <w:r w:rsidRPr="00163F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четной палаты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за 2011 год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В соответствии с утвержденным планом работы на 2012 год  Контрольно-счетной палатой  за отчетный период проведено 3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проверки</w:t>
      </w:r>
      <w:r w:rsidR="001C07AC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контрольных мероприятий и 24 экспертно-аналитических мероприятия.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Контрольные мероприятия</w:t>
      </w:r>
    </w:p>
    <w:p w:rsidR="005944F7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5944F7">
        <w:rPr>
          <w:rFonts w:ascii="Times New Roman" w:eastAsia="Times New Roman" w:hAnsi="Times New Roman" w:cs="Times New Roman"/>
          <w:sz w:val="28"/>
          <w:szCs w:val="28"/>
          <w:lang w:eastAsia="ar-SA"/>
        </w:rPr>
        <w:t>За отчетный период Контрольно-счетной палатой были проведены следующие контрольные мероприятия:</w:t>
      </w:r>
    </w:p>
    <w:p w:rsidR="005944F7" w:rsidRPr="005944F7" w:rsidRDefault="005944F7" w:rsidP="005944F7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1) </w:t>
      </w:r>
      <w:r w:rsidRP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физического наличия,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сохранности и эффективности эксплуатации созданной системы видеонаблюдения непосредственно на избирательных участках Ульчского муниципального района  Хабаровского края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C07AC" w:rsidRDefault="005944F7" w:rsidP="00736C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2) </w:t>
      </w:r>
      <w:r w:rsidRP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соблюдения законности получения и расходования, полноты учета средств, полученных от предпринимательской и иной приносящей доход деятельности в муниципальных дошкольных общеобразовательных учреждениях Ульчского муниципального района</w:t>
      </w:r>
    </w:p>
    <w:p w:rsidR="005944F7" w:rsidRDefault="001C07AC" w:rsidP="001C07A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   </w:t>
      </w:r>
      <w:r w:rsidR="005944F7" w:rsidRP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</w:t>
      </w:r>
      <w:r w:rsidR="005944F7" w:rsidRPr="005944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5944F7" w:rsidRP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законности, результативности использования средств бюджета Ульчского муниципального района,</w:t>
      </w:r>
      <w:r w:rsid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944F7" w:rsidRPr="00594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поступивших в бюджет Мариинского сельского поселения</w:t>
      </w:r>
      <w:r w:rsidR="007C3F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B5E24" w:rsidRDefault="00736C7B" w:rsidP="00A25A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4)</w:t>
      </w:r>
      <w:r w:rsidR="003B5E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B5E24" w:rsidRPr="003B5E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законности, результативности использования средств бюджета Ульчского муниципального района, поступивших в бюджет сельского пос</w:t>
      </w:r>
      <w:r w:rsidR="003B5E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3B5E24" w:rsidRPr="003B5E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ления "Село Булава"</w:t>
      </w:r>
      <w:r w:rsidR="007C3F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3B5E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70ACA" w:rsidRDefault="00A25AB8" w:rsidP="00F561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5) </w:t>
      </w:r>
      <w:r w:rsidR="00770ACA" w:rsidRPr="00770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законности,</w:t>
      </w:r>
      <w:r w:rsidR="00770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70ACA" w:rsidRPr="00770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результативности использования средств бюджета Ульчского муниципального района по расчетам с подотчетными лицами, а также дебиторами и кредиторами в МУ "Межпоселенческий РДК Ульчского муниципального района",</w:t>
      </w:r>
      <w:r w:rsidR="00770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70ACA" w:rsidRPr="00770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 "Межпоселенческая библиотека Ульчского муниципального района</w:t>
      </w:r>
      <w:r w:rsidR="007C3F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56107" w:rsidRDefault="00F56107" w:rsidP="00F561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6) </w:t>
      </w:r>
      <w:r w:rsidRPr="00F561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правомерности и эффективности использования бюджетных средств выделенных из бюджета Ульчского муниципального района на содержание Центра национальной культуры с. Булава  муниципального бюджетного учреждения "Межпоселенческий Дом культуры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561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"Ульчского муниципального района</w:t>
      </w:r>
      <w:r w:rsidR="007C3F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56107" w:rsidRDefault="00F56107" w:rsidP="00F561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7) Проверка правомерности и эффективности использования бюджетных средств выделенных из бюджета Ульчского муниципального района</w:t>
      </w:r>
      <w:r w:rsidR="00C208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содержание МУ Издательский центр «Амурский Маяк»</w:t>
      </w:r>
      <w:r w:rsidR="007C3F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208A4" w:rsidRPr="00F56107" w:rsidRDefault="00C208A4" w:rsidP="00F561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8) Проверка законности, результативности использования средств бюджета Ульчского муниципального района на приобретение спортивного инвентаря по общеобразовательным учреждениям Ульчского муниципального района за 2011 год, полученных за счет безвозмездных поступлений.</w:t>
      </w:r>
    </w:p>
    <w:p w:rsidR="00163F3F" w:rsidRPr="008C0BC4" w:rsidRDefault="001C07AC" w:rsidP="008C0B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Проверками Контрольно-счетной палаты были охвачены 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>37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объект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ов, в том числе: органы местного самоуправления - 2 объекта, 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 учреждени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 – 15, муниципальных предприятий – 1, 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прочих организаций</w:t>
      </w:r>
      <w:r w:rsidR="00085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D2AD8">
        <w:rPr>
          <w:rFonts w:ascii="Times New Roman" w:eastAsia="Times New Roman" w:hAnsi="Times New Roman" w:cs="Times New Roman"/>
          <w:sz w:val="28"/>
          <w:szCs w:val="28"/>
          <w:lang w:eastAsia="ar-SA"/>
        </w:rPr>
        <w:t>-19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3F3F" w:rsidRPr="00163F3F" w:rsidRDefault="00163F3F" w:rsidP="008C0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</w:t>
      </w:r>
      <w:r w:rsidR="009C371E" w:rsidRPr="009C37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Общий</w:t>
      </w:r>
      <w:r w:rsidR="009C371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</w:t>
      </w:r>
      <w:r w:rsidR="009C371E" w:rsidRPr="009C37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бъем</w:t>
      </w:r>
      <w:r w:rsidR="009C37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роверенных </w:t>
      </w:r>
      <w:r w:rsidR="009C37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средств </w:t>
      </w:r>
      <w:bookmarkStart w:id="0" w:name="_GoBack"/>
      <w:bookmarkEnd w:id="0"/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Контрольно-счетной палатой 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проведении контрольных мероприятий </w:t>
      </w:r>
      <w:r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составил </w:t>
      </w:r>
      <w:r w:rsidR="005C0EED">
        <w:rPr>
          <w:rFonts w:ascii="Times New Roman" w:eastAsia="Times New Roman" w:hAnsi="Times New Roman" w:cs="Times New Roman"/>
          <w:sz w:val="28"/>
          <w:szCs w:val="24"/>
          <w:lang w:eastAsia="ar-SA"/>
        </w:rPr>
        <w:t>50 837,6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</w:t>
      </w:r>
      <w:r w:rsidR="009C371E">
        <w:rPr>
          <w:rFonts w:ascii="Times New Roman" w:eastAsia="Times New Roman" w:hAnsi="Times New Roman" w:cs="Times New Roman"/>
          <w:sz w:val="28"/>
          <w:szCs w:val="28"/>
          <w:lang w:eastAsia="ar-SA"/>
        </w:rPr>
        <w:t>лей.</w:t>
      </w:r>
    </w:p>
    <w:p w:rsidR="00163F3F" w:rsidRPr="00163F3F" w:rsidRDefault="00163F3F" w:rsidP="008C0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ходе проведения контрольных мероприятий выявлено нарушений </w:t>
      </w:r>
      <w:r w:rsid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недостатков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общую сумму </w:t>
      </w:r>
      <w:r w:rsid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448,6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</w:t>
      </w:r>
      <w:r w:rsid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лей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том числе:</w:t>
      </w:r>
    </w:p>
    <w:p w:rsidR="00163F3F" w:rsidRPr="00987911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1) </w:t>
      </w:r>
      <w:r w:rsidR="00987911"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случа</w:t>
      </w:r>
      <w:r w:rsidR="005C0EED"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нецелевого использования бюджетных средств на  сумму </w:t>
      </w:r>
      <w:r w:rsidR="005C0EED"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58,9 </w:t>
      </w: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</w:t>
      </w:r>
      <w:r w:rsidR="005C0EED"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лей;</w:t>
      </w:r>
    </w:p>
    <w:p w:rsidR="00987911" w:rsidRPr="00987911" w:rsidRDefault="00163F3F" w:rsidP="009879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0BC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</w:t>
      </w:r>
      <w:r w:rsidR="0098791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</w:t>
      </w:r>
      <w:r w:rsidRPr="00987911">
        <w:rPr>
          <w:rFonts w:ascii="Times New Roman" w:eastAsia="Times New Roman" w:hAnsi="Times New Roman" w:cs="Times New Roman"/>
          <w:sz w:val="28"/>
          <w:szCs w:val="24"/>
          <w:lang w:eastAsia="ar-SA"/>
        </w:rPr>
        <w:t>2)</w:t>
      </w:r>
      <w:r w:rsidR="00987911" w:rsidRPr="0098791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</w:t>
      </w:r>
      <w:r w:rsidRPr="0098791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случа</w:t>
      </w:r>
      <w:r w:rsidR="00987911" w:rsidRPr="00987911">
        <w:rPr>
          <w:rFonts w:ascii="Times New Roman" w:eastAsia="Times New Roman" w:hAnsi="Times New Roman" w:cs="Times New Roman"/>
          <w:sz w:val="28"/>
          <w:szCs w:val="24"/>
          <w:lang w:eastAsia="ar-SA"/>
        </w:rPr>
        <w:t>й</w:t>
      </w:r>
      <w:r w:rsidRPr="0098791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неэффективного использования бюджетных средств на сумму </w:t>
      </w:r>
      <w:r w:rsidR="00987911" w:rsidRPr="00987911">
        <w:rPr>
          <w:rFonts w:ascii="Times New Roman" w:eastAsia="Times New Roman" w:hAnsi="Times New Roman" w:cs="Times New Roman"/>
          <w:sz w:val="28"/>
          <w:szCs w:val="24"/>
          <w:lang w:eastAsia="ar-SA"/>
        </w:rPr>
        <w:t>14,8</w:t>
      </w: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</w:t>
      </w:r>
      <w:r w:rsidR="00987911"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лей.</w:t>
      </w:r>
    </w:p>
    <w:p w:rsidR="00163F3F" w:rsidRPr="00987911" w:rsidRDefault="00163F3F" w:rsidP="009879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3) </w:t>
      </w:r>
      <w:r w:rsidR="00987911" w:rsidRPr="00987911">
        <w:rPr>
          <w:rFonts w:ascii="Times New Roman" w:eastAsia="Times New Roman" w:hAnsi="Times New Roman" w:cs="Times New Roman"/>
          <w:sz w:val="28"/>
          <w:szCs w:val="28"/>
          <w:lang w:eastAsia="ar-SA"/>
        </w:rPr>
        <w:t>9 случаев неправомерного использования бюджетных средств  на сумму 135,3 тыс. рублей;</w:t>
      </w:r>
    </w:p>
    <w:p w:rsidR="00C10669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06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4) </w:t>
      </w:r>
      <w:r w:rsidR="00C10669" w:rsidRPr="00C10669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10669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10669" w:rsidRPr="00C106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случаев нарушения ведения кассовых операций на сумму </w:t>
      </w:r>
      <w:r w:rsidR="00C10669">
        <w:rPr>
          <w:rFonts w:ascii="Times New Roman" w:eastAsia="Times New Roman" w:hAnsi="Times New Roman" w:cs="Times New Roman"/>
          <w:sz w:val="28"/>
          <w:szCs w:val="28"/>
          <w:lang w:eastAsia="ar-SA"/>
        </w:rPr>
        <w:t>22,7</w:t>
      </w:r>
      <w:r w:rsidR="00C10669" w:rsidRPr="00C106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рублей;</w:t>
      </w:r>
    </w:p>
    <w:p w:rsidR="00C10669" w:rsidRDefault="00C10669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5) 2 случая нарушения требований бухгалтерского учета в качестве юридического лица на сумму 14,6 тыс. рублей;</w:t>
      </w:r>
    </w:p>
    <w:p w:rsidR="00C10669" w:rsidRDefault="00C10669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6) 1 случай нарушения отражения операций на счетах бухгалтерского учета на сумму 18,6 тыс. рублей;</w:t>
      </w:r>
    </w:p>
    <w:p w:rsidR="00C10669" w:rsidRDefault="00C10669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7) 1 случай нарушения соответствия начисленной и выплаченной заработной платы на сумму 20,5 тыс. рублей</w:t>
      </w:r>
      <w:r w:rsidR="003D6A2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D6A2A" w:rsidRPr="00C10669" w:rsidRDefault="003D6A2A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8) 3 случая нарушения требований по принятию первичных учетных документов на сумму 163,2 тыс. рублей.</w:t>
      </w:r>
    </w:p>
    <w:p w:rsidR="008C0BC4" w:rsidRPr="001C07AC" w:rsidRDefault="003D6A2A" w:rsidP="00163F3F">
      <w:pPr>
        <w:tabs>
          <w:tab w:val="left" w:pos="720"/>
        </w:tabs>
        <w:spacing w:after="0" w:line="240" w:lineRule="auto"/>
        <w:ind w:left="30" w:hanging="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07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9) 2 нарушения</w:t>
      </w:r>
      <w:r w:rsidR="001C07AC" w:rsidRPr="001C07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ведения форм </w:t>
      </w:r>
      <w:r w:rsidRPr="001C07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первичных учетных документов и регистров бухгалтерского учета;</w:t>
      </w:r>
    </w:p>
    <w:p w:rsidR="0060339E" w:rsidRDefault="003D6A2A" w:rsidP="00163F3F">
      <w:pPr>
        <w:tabs>
          <w:tab w:val="left" w:pos="720"/>
        </w:tabs>
        <w:spacing w:after="0" w:line="240" w:lineRule="auto"/>
        <w:ind w:left="30" w:hanging="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10) </w:t>
      </w:r>
      <w:r w:rsidR="0060339E">
        <w:rPr>
          <w:rFonts w:ascii="Times New Roman" w:eastAsia="Times New Roman" w:hAnsi="Times New Roman" w:cs="Times New Roman"/>
          <w:sz w:val="28"/>
          <w:szCs w:val="28"/>
          <w:lang w:eastAsia="ar-SA"/>
        </w:rPr>
        <w:t>2 нарушения части 1статьи 217 Бюджетного кодекса Российской Федерации;</w:t>
      </w:r>
    </w:p>
    <w:p w:rsidR="0060339E" w:rsidRDefault="0060339E" w:rsidP="0060339E">
      <w:pPr>
        <w:tabs>
          <w:tab w:val="left" w:pos="720"/>
        </w:tabs>
        <w:spacing w:after="0" w:line="240" w:lineRule="auto"/>
        <w:ind w:left="30" w:hanging="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11) 2 нарушения части 2 статьи 217.1</w:t>
      </w:r>
      <w:r w:rsidRPr="006033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Бюджетного кодекса Российской Федерации;</w:t>
      </w:r>
    </w:p>
    <w:p w:rsidR="0060339E" w:rsidRDefault="0060339E" w:rsidP="0060339E">
      <w:pPr>
        <w:tabs>
          <w:tab w:val="left" w:pos="720"/>
        </w:tabs>
        <w:spacing w:after="0" w:line="240" w:lineRule="auto"/>
        <w:ind w:left="30" w:hanging="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12) 3 нарушения пункта 1, части 1 статьи 86 Бюджетного кодекса Российской Федерации.</w:t>
      </w:r>
    </w:p>
    <w:p w:rsidR="00163F3F" w:rsidRPr="001C07AC" w:rsidRDefault="0060339E" w:rsidP="001C07AC">
      <w:pPr>
        <w:tabs>
          <w:tab w:val="left" w:pos="720"/>
        </w:tabs>
        <w:spacing w:after="0" w:line="240" w:lineRule="auto"/>
        <w:ind w:left="30" w:hanging="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163F3F"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 результатам всех контрольных мероприятий составлены акты проверок, 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оформлены </w:t>
      </w:r>
      <w:r w:rsidR="008C0BC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отчеты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Контрольно-счетной палаты, </w:t>
      </w:r>
      <w:r w:rsidR="00163F3F"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>даны предложения по устранению выявленных недостатков и нарушений</w:t>
      </w:r>
      <w:r w:rsidR="008C0BC4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163F3F"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8C0BC4">
        <w:rPr>
          <w:rFonts w:ascii="Times New Roman" w:eastAsia="Times New Roman" w:hAnsi="Times New Roman" w:cs="Times New Roman"/>
          <w:sz w:val="28"/>
          <w:szCs w:val="24"/>
          <w:lang w:eastAsia="ar-SA"/>
        </w:rPr>
        <w:t>О</w:t>
      </w:r>
      <w:r w:rsidR="00163F3F"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бъектам контроля направлено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7 </w:t>
      </w:r>
      <w:r w:rsidR="008C0BC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163F3F"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>представлени</w:t>
      </w:r>
      <w:r w:rsidR="008C0BC4">
        <w:rPr>
          <w:rFonts w:ascii="Times New Roman" w:eastAsia="Times New Roman" w:hAnsi="Times New Roman" w:cs="Times New Roman"/>
          <w:sz w:val="28"/>
          <w:szCs w:val="24"/>
          <w:lang w:eastAsia="ar-SA"/>
        </w:rPr>
        <w:t>й</w:t>
      </w:r>
      <w:r w:rsidR="00163F3F"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 устранении выявленных нарушений и восстановлении в бюджет незаконно израсходованных бюджетных средств.</w:t>
      </w:r>
      <w:r w:rsidRPr="006033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0339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Привлечены к дисциплинарной ответственности 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должностных лица.</w:t>
      </w:r>
    </w:p>
    <w:p w:rsidR="008C0BC4" w:rsidRDefault="008C0BC4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Копии отчетов о проведенных контрольных мероприятиях направлены </w:t>
      </w:r>
      <w:r w:rsidR="008744C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Собрание депутатов и главе района. </w:t>
      </w:r>
    </w:p>
    <w:p w:rsidR="00163F3F" w:rsidRPr="00163F3F" w:rsidRDefault="0060339E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</w:t>
      </w:r>
      <w:r w:rsidR="00163F3F"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 Экспертно-аналитические мероприятия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За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отчетный период </w:t>
      </w:r>
      <w:r w:rsidRPr="00163F3F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Контрольно-счетной палат</w:t>
      </w:r>
      <w:r w:rsidR="001C07AC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ой</w:t>
      </w:r>
      <w:r w:rsidRPr="00163F3F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проведено 24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экспертно-аналитических мероприятия, в том числе: 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по проектам нормативных правовых актов администрации района - 4;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по проектам нормативных правовых актов   администраций сельских поселений - 2;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 по вопросам текущего контроля         исполнения  бюджета района -  8; 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по вопросам управления муниципальным имуществом – 1;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внешняя проверка годовой отчетности главных администраторов бюджетных средств и годового отчета об исполнении бюджета района  - 6;</w:t>
      </w:r>
    </w:p>
    <w:p w:rsidR="00163F3F" w:rsidRPr="00163F3F" w:rsidRDefault="00163F3F" w:rsidP="0060339E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- внешняя проверка годового отчета об исполнении бюджетов поселений </w:t>
      </w:r>
      <w:r w:rsidR="0064032E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63F3F" w:rsidRPr="00163F3F" w:rsidRDefault="00163F3F" w:rsidP="0060339E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403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- по прочим вопросам –1.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3.2.1. Проведена экспертиза и подготовлены заключения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5 проектов решений Собрания депутатов «О внесении изменений в решение Собрания депутатов Ульчского муниципального района от 26.12.2011 № 363 «О бюджете Ульчского муниципального района на 2012 год».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3.2.2.  Подготовлены заключения об исполнении бюджета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за 1 квартал, первое  полугодие  и девять месяцев 2012 года для Собрания депутатов и главы района.</w:t>
      </w:r>
    </w:p>
    <w:p w:rsid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3.2.3. Проведена экспертиза и подготовлены заключения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проекты решений Собрания депутатов  «Об утверждении положения о местных налогах и системе налогообложения в виде единого налога на вмененный доход для отдельных видов деятельности на территории Ульчского муниципального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района», «Об утверждении положения о бюджетном процессе в Ульчском муниципальном районе»,  «О муниципальном дорожном фонде администрации Ульчского муниципального района Хабаровского края»,  «О прогнозном плане приватизации муниципального имущества Ульчского муниципального района Хабаровского края».</w:t>
      </w:r>
    </w:p>
    <w:p w:rsidR="004A4F01" w:rsidRDefault="004A4F01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4A4F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3.2.4. В соответствии с решением о проведении параллельного экспертно-аналитического 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Контрольно-счетной палатой Хабаровского края и Контрольно-счетной палатой при Собрании депутатов Ульчского муниципального района от 16.04.2012 года, Контрольно-счетной палатой проведено экспертно-аналитического мероприятия «Мониторинг изменения тарифов на электрическую и тепловую в сфере деятельности организаций коммунального хозяйства Ульчского муниципального района по состоянию на 01.07.2012 и 01.01.2013 года».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</w:t>
      </w:r>
      <w:r w:rsidR="004A4F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Проведенна</w:t>
      </w:r>
      <w:r w:rsidR="002A574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экспертиза,  внешняя проверка годовой отчетности главных администраторов бюджетных средств  бюджета района и годового отчета об исполнении бюджета за 2011 год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подтвердила его достоверность, состав и показатели отчета соответствуют требованиям Бюджетного кодекса РФ и Положения о бюджетном процессе в Ульчском муниципальном районе.</w:t>
      </w:r>
    </w:p>
    <w:p w:rsidR="00163F3F" w:rsidRPr="00163F3F" w:rsidRDefault="00163F3F" w:rsidP="00163F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В экспертном заключении Контрольно-счетной палаты отмечено, о</w:t>
      </w:r>
      <w:r w:rsidRPr="00163F3F">
        <w:rPr>
          <w:rFonts w:ascii="Times New Roman" w:eastAsia="Calibri" w:hAnsi="Times New Roman" w:cs="Times New Roman"/>
          <w:sz w:val="28"/>
          <w:szCs w:val="28"/>
        </w:rPr>
        <w:t>тчет об исполнении бюджета   района за 2011 год с приложениями, представлен в  соответствии с частью 3 статьи 264.1 Бюджетного Кодекса Российской Федерации.</w:t>
      </w:r>
    </w:p>
    <w:p w:rsidR="00163F3F" w:rsidRPr="00163F3F" w:rsidRDefault="00163F3F" w:rsidP="00163F3F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Calibri" w:hAnsi="Times New Roman" w:cs="Times New Roman"/>
          <w:sz w:val="28"/>
          <w:szCs w:val="28"/>
        </w:rPr>
        <w:t>В соответствии с частью 3 статьи 51 Устава Ульчского муниципального района финансовое управление администрации Ульчского муниципального района является исполнительно-распорядительным органом местного самоуправления администрации У</w:t>
      </w:r>
      <w:r w:rsidR="001C07AC">
        <w:rPr>
          <w:rFonts w:ascii="Times New Roman" w:eastAsia="Calibri" w:hAnsi="Times New Roman" w:cs="Times New Roman"/>
          <w:sz w:val="28"/>
          <w:szCs w:val="28"/>
        </w:rPr>
        <w:t>льчского муниципального района</w:t>
      </w:r>
      <w:r w:rsidRPr="00163F3F">
        <w:rPr>
          <w:rFonts w:ascii="Times New Roman" w:eastAsia="Calibri" w:hAnsi="Times New Roman" w:cs="Times New Roman"/>
          <w:sz w:val="28"/>
          <w:szCs w:val="28"/>
        </w:rPr>
        <w:t>, осуществляющим составление и организацию исполнения бюджета района. Правовой основой деятельности финансового управления является Положение о финансовом управлении</w:t>
      </w:r>
      <w:r w:rsidR="001C07A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утвержденное постановлением главы района от 05.02.2008      № 30 «Об утверждении Положения о финансовом управлении администрации Ульчского муниципального района». </w:t>
      </w:r>
    </w:p>
    <w:p w:rsidR="00163F3F" w:rsidRPr="00163F3F" w:rsidRDefault="00163F3F" w:rsidP="00163F3F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Бюджет района на 2011 год утвержден решением Собрания депутатов от 29.12.2010 № 246. В процессе исполнения бюджета района было принято 4 решения Собрания депутатов о внесении изменении  и дополнений в решение Собрания депутатов от 29.12.2010 № 246 (от 21.06.2011 № 301, от  16.09.2011 № 318, от 25.10.2011 № 344, от 26.12.11 № 364).</w:t>
      </w:r>
    </w:p>
    <w:p w:rsidR="0064032E" w:rsidRDefault="00163F3F" w:rsidP="0064032E">
      <w:pPr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В соответствии со статьей 215.1 Бюджетного Кодекса Российской Федерации исполнение бюджета района осуществляется на основе единства кассы.</w:t>
      </w:r>
    </w:p>
    <w:p w:rsidR="00163F3F" w:rsidRPr="0064032E" w:rsidRDefault="0064032E" w:rsidP="0064032E">
      <w:pPr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  <w:r w:rsidR="00163F3F" w:rsidRPr="00163F3F">
        <w:rPr>
          <w:rFonts w:ascii="Times New Roman" w:eastAsia="Calibri" w:hAnsi="Times New Roman" w:cs="Times New Roman"/>
          <w:bCs/>
          <w:sz w:val="28"/>
          <w:szCs w:val="28"/>
        </w:rPr>
        <w:t>В соответствии со статьей  264.4 БК РФ  Контрольно-счётная палата провела внешнюю проверку бюджетной отчётности  главных администраторов бюджетных средств,  а именно</w:t>
      </w:r>
      <w:r w:rsidR="00163F3F" w:rsidRPr="00163F3F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163F3F" w:rsidRPr="00163F3F" w:rsidRDefault="00163F3F" w:rsidP="00163F3F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администрации Ульчского муниципального района;  </w:t>
      </w:r>
    </w:p>
    <w:p w:rsidR="00163F3F" w:rsidRPr="00163F3F" w:rsidRDefault="00163F3F" w:rsidP="00163F3F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финансового      управления;  </w:t>
      </w:r>
    </w:p>
    <w:p w:rsidR="00163F3F" w:rsidRPr="00163F3F" w:rsidRDefault="00163F3F" w:rsidP="00163F3F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комитета   по образованию; </w:t>
      </w:r>
    </w:p>
    <w:p w:rsidR="00163F3F" w:rsidRPr="00163F3F" w:rsidRDefault="00163F3F" w:rsidP="00163F3F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комитета    по культуре, молодежной политике и спорту;  </w:t>
      </w:r>
    </w:p>
    <w:p w:rsidR="00163F3F" w:rsidRPr="00163F3F" w:rsidRDefault="00163F3F" w:rsidP="00163F3F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>комитета по здравоохранению;</w:t>
      </w:r>
    </w:p>
    <w:p w:rsidR="00163F3F" w:rsidRPr="00163F3F" w:rsidRDefault="00163F3F" w:rsidP="00163F3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МУ ИИЦ «Амурский Маяк»;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территориальной избирательной комиссии Ульчского муниципального района.</w:t>
      </w:r>
    </w:p>
    <w:p w:rsidR="00163F3F" w:rsidRPr="00163F3F" w:rsidRDefault="00163F3F" w:rsidP="00163F3F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Бюджетная отчетность представлена в Контрольно-счётную палату в установленный срок.</w:t>
      </w:r>
    </w:p>
    <w:p w:rsidR="00163F3F" w:rsidRPr="00163F3F" w:rsidRDefault="00163F3F" w:rsidP="00163F3F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В ходе анализа и оценки форм бюджетной отчетности установлено, что бюджетная отчетность составлена и представлена в соответствии с требованиями статьи 264.1 БК РФ. 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</w:t>
      </w:r>
      <w:r w:rsidRPr="00163F3F">
        <w:rPr>
          <w:rFonts w:ascii="Times New Roman" w:eastAsia="Calibri" w:hAnsi="Times New Roman" w:cs="Times New Roman"/>
          <w:b/>
          <w:sz w:val="28"/>
          <w:szCs w:val="28"/>
        </w:rPr>
        <w:t>В ходе проведения экспертизы представленной бюджетной отчетности главных администраторов  средств бюджет района установлено следующее</w:t>
      </w:r>
      <w:r w:rsidRPr="00163F3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63F3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В нарушение требований Инструкции № 191н по порядку формирования бюджетной отчетности, отмечены </w:t>
      </w:r>
      <w:r w:rsidR="001C07AC">
        <w:rPr>
          <w:rFonts w:ascii="Times New Roman" w:eastAsia="Calibri" w:hAnsi="Times New Roman" w:cs="Times New Roman"/>
          <w:sz w:val="28"/>
          <w:szCs w:val="28"/>
        </w:rPr>
        <w:t>замечания</w:t>
      </w:r>
      <w:r w:rsidRPr="00163F3F">
        <w:rPr>
          <w:rFonts w:ascii="Times New Roman" w:eastAsia="Calibri" w:hAnsi="Times New Roman" w:cs="Times New Roman"/>
          <w:sz w:val="28"/>
          <w:szCs w:val="28"/>
        </w:rPr>
        <w:t>,  имеющиеся в годовой отчетности у главных распорядителей бюджетных средств, в частности: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1.  Не  предоставлены: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F3F">
        <w:rPr>
          <w:rFonts w:ascii="Times New Roman" w:eastAsia="Calibri" w:hAnsi="Times New Roman" w:cs="Times New Roman"/>
          <w:i/>
          <w:sz w:val="28"/>
          <w:szCs w:val="28"/>
        </w:rPr>
        <w:t xml:space="preserve">       сведения об исполнении бюджетов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ф. 0503164)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(Комитет по здравоохранению);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сведения об изменениях бюджетной росписи главного распорядителя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средств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ф. 0503163</w:t>
      </w:r>
      <w:r w:rsidRPr="00163F3F">
        <w:rPr>
          <w:rFonts w:ascii="Times New Roman" w:eastAsia="Calibri" w:hAnsi="Times New Roman" w:cs="Times New Roman"/>
          <w:sz w:val="28"/>
          <w:szCs w:val="28"/>
        </w:rPr>
        <w:t>) (комитет по культуре, молодежной политике и спорту, комитет по здравоохранению, администрация района);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 2. Таблицы с №1-7 к пояснительной записке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 xml:space="preserve">(ф.0503160) </w:t>
      </w:r>
      <w:r w:rsidRPr="00163F3F">
        <w:rPr>
          <w:rFonts w:ascii="Times New Roman" w:eastAsia="Calibri" w:hAnsi="Times New Roman" w:cs="Times New Roman"/>
          <w:sz w:val="28"/>
          <w:szCs w:val="28"/>
        </w:rPr>
        <w:t>не заполнены (комитет по здравоохранению);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 3.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 xml:space="preserve">форме 0503127 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не заполнен раздел «Доходы бюджета» на основании структуры утвержденных решением) о бюджете бюджетных назначений по доходам (комитет по образованию).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4.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Форма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0503164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представлена неустановленного образца, сдвинуты графы, искажены причины отклонения (комитет по образованию).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 5.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Форма 0503164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представлена не в полном объеме, отсутствуют некоторые показатели (комитет по культуре, молодежной политике и спорту, комитет по образованию).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6.  В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форме 0503177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не заполнены все графы (администрация района, комитет по культуре, молодежной политике и спорту).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Плановые показатели, указанные в годовой бюджетной отчетности за 2011 год соответствуют показателям, утвержденным решением 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Собрания депутатов Ульчского муниципального района от 26.12.2011 № 364, и </w:t>
      </w:r>
      <w:r w:rsidRPr="00163F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показателям сводной бюджетной росписи районного бюджета на 2011 год, </w:t>
      </w:r>
      <w:r w:rsidRPr="00163F3F">
        <w:rPr>
          <w:rFonts w:ascii="Times New Roman" w:eastAsia="Calibri" w:hAnsi="Times New Roman" w:cs="Times New Roman"/>
          <w:bCs/>
          <w:iCs/>
          <w:sz w:val="28"/>
          <w:szCs w:val="28"/>
        </w:rPr>
        <w:t>с учетом изменений, внесенных в ходе исполнения бюджета.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63F3F">
        <w:rPr>
          <w:rFonts w:ascii="Times New Roman" w:eastAsia="Calibri" w:hAnsi="Times New Roman" w:cs="Times New Roman"/>
          <w:bCs/>
          <w:iCs/>
          <w:sz w:val="28"/>
          <w:szCs w:val="28"/>
        </w:rPr>
        <w:t>Фактические показатели, отраженные в бюджетной отчетности не превышают плановые показатели, утвержденные сводной бюджетной росписью  и решению о бюджете на отчетный финансовый год.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Проверка показателей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формы 0503130 «Баланс главного распорядителя бюджетных средств, главного администратора доходов бюджета»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показала, что не все данные этой формы соответствуют показателям остальных форм (Комитет по образованию – не соответствие с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ф.0503169</w:t>
      </w:r>
      <w:r w:rsidRPr="00163F3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>Финансовый результат прошлых отчетных периодов по балансу соответствует</w:t>
      </w:r>
      <w:r w:rsidRPr="00163F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данным бюджетной отчетности по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форме 0503110 «Справка по  заключению счетов бюджетного учета отчетного финансового года»</w:t>
      </w: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Движение нефинансовых активов отражено в полном объеме, что соответствует показателям бюджетной отчетности </w:t>
      </w:r>
      <w:r w:rsidRPr="00163F3F">
        <w:rPr>
          <w:rFonts w:ascii="Times New Roman" w:eastAsia="Calibri" w:hAnsi="Times New Roman" w:cs="Times New Roman"/>
          <w:i/>
          <w:sz w:val="28"/>
          <w:szCs w:val="28"/>
        </w:rPr>
        <w:t>(ф.0503168).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>Текстовая часть пояснительной записки не в полной мере раскрывает информацию, характеризующую деятельность главных распорядителей бюджетных средств, получателей бюджетных средств.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ходе проведения экспертизы годового отчета об исполнении бюджета за 2011 год установлено следующее: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со статьей 187 Бюджетного кодекса Российской Федерации бюджет района на 2011 год принят в установленные сроки. В ходе исполнения бюджет корректировался 4 раза. При этом, плановые назначения бюджета района относительно первоначально утвержденных назначений увеличились на 92,6 млн. рублей или на 9,0 процентов, расходы бюджета района по сравнению с первоначальной редакцией увеличились на 96,0 млн. рублей на 9,2 процента.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Согласно отчета об исполнении  бюджета района  на 01.01.2012 года (</w:t>
      </w:r>
      <w:r w:rsidRPr="00163F3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ф.053117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) общий объем утвержденных плановых назначений по доходам составил в сумме   1 099 ,8млн. рублей, исполнено     1 108,3 млн. рублей или 100,78 % к плану, в том числе: по группе налоговые и неналоговые доходы увеличение составило 9 ,5млн. рублей или 103,2% к плановым назначениям, по группе безвозмездные поступления уменьшение составило 998,85 тыс. рублей или 0,13 % к плановым назначениям.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структуре доходов  бюджета района налоговые и неналоговые доходы составляют 28,25 %. Основными доходным источником является налог на доходы физических лиц 84,7 % (265 344,8 тыс. рублей).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Общий объем утвержденных бюджетных назначений по расходам  по отчету     (</w:t>
      </w:r>
      <w:r w:rsidRPr="00163F3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63F3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0503317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составил 1 130,5 млн. рублей, исполнено 1104,1 млн. рублей или 97,6 % к плану, с профицитом в размере 4,2 млн. рублей.  Отклонение от общего объема  утвержденных бюджетных назначений по отчету (</w:t>
      </w:r>
      <w:r w:rsidRPr="00163F3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ф. 0503317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от сводной бюджетной росписи составило 17,4 тыс. рублей.   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Исполнение расходов  по разделам и подразделам классификации расходов бюджетов Российской Федерации  в соответствии с ведомственной </w:t>
      </w: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структурой расходов районного бюджета осуществляли семь главных распорядителей бюджетных средств и   49 получателей бюджетных средств бюджета района.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 исполнения бюджетных назначений показал, что почти по всем разделам процент исполнения бюджетных назначений сложился более 90 %, за исключением «социальной политики» (89,45%).   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П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состоянию на 01.01.2011 и на 01.01.2012гг. отсутствовал муниципальный долг бюджета района.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2011 году  списана задолженность прошлых лет, согласно постановления главы района от 23.12.2009 года № 186 «Об утверждении положения о списании (уменьшении) задолженности юридических лиц по бюджетным кредитам, выданным на обеспечение топливом и продовольствием по договорам (соглашениям) заключенным до 01.01.2007 года» и распоряжения главы района от 28.12.2011 № 820-р «О списании (уменьшении) задолженности юридических лиц по бюджетным кредитам выданным на обеспечение топливом и продовольствием по договорам (соглашениям) заключенным до 01.01.2007 года» в сумме 71,5млн.  рублей.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Выдано бюджетных кредитов из  бюджета района  в сумме 640,0 тыс. рублей. Возврат организациями,  полученных кредитов из  бюджета  района составил 1 438,2тыс. рублей.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</w:t>
      </w:r>
      <w:r w:rsidRPr="00163F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 территории района в 2011 году действовало 6 программ,                  финансируемых за счет средств бюджета района. Исполнение расходов на реализацию мероприятий по целевым программам составило  70.1млн. рублей или 96,0 % от плановых назначений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целом по результатам проведенной внешней проверки бюджетной отчетности главных администраторов бюджетных средств и отчета об исполнении бюджета района представленного в форме проекта Решения Собрания депутатов Контрольно-счетной палатой установлено соответствие показателей годовой отчетности главных администраторов бюджетных средств данным отчета об исполнении бюджета района за 2011 год, а так же подтверждена достоверность отчета об исполнении бюджет района за 2011 год. 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Контрольно-счетной палатой было рекомендовано Собранию депутатов принять решение об утверждении отчета об исполнении бюджета района за 2011 год, финансовому управлению, главным администраторам бюджетных средств учесть замечания и предложения, при исполнении бюджета следующего отчетного периода и подготовке соответствующей бюджетной отчетности.                                                                         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</w:t>
      </w:r>
      <w:r w:rsidR="004A4F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Проведена экспертиза проекта муниципального правового акта муниципального района «О бюджете Ульчского муниципального района на 2013 год».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В заключении на указанный проект отмечено, что п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решения внесен администрацией Ульчского муниципального района  в Собрание  депутатов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 ноября 2012 года, т. е. в срок, установленный статьей 185  БК РФ, статьей 27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Положения «О бюджетном процессе»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 содержание документов, представленных одновременно с проектом решения, соответствуют требованиям статьи 184.2 БК РФ и статьи 26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Положения «О бюджетном процессе»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поступил на экспертизу в Контрольно-счетную       палату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ноября 2011 года, т. е. в срок, установленный статьей 28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Положения «О бюджетном процессе»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169 БК РФ, статьей 3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Положения «О        бюджетном процессе» проект бюджета района составляется на один год (на очередной финансовый год)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чем, согласно статьи 20           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Положения «О бюджетном процессе»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района утвержден и представлен в Собрание депутатов вместе с проектом бюджета района среднесрочный финансовый план консолидированного бюджета                 муниципального района на 2013-2015 годы. 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 со статьей 171 БК РФ, статьей 21 </w:t>
      </w:r>
      <w:r w:rsidRPr="00163F3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Положения «О       бюджетном процессе»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непосредственное составление проекта бюджета района на 2013 год осуществляло финансовое управление администрации района.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содержания проекта решения показал, что он содержит все необходимые характеристики бюджета и отвечает требованиям статьи 181.1 БК РФ.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бюджета района, предложенный администрацией района на 2013 год, является сбалансированным.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Характерными особенностями проекта бюджета района являются:</w:t>
      </w:r>
    </w:p>
    <w:p w:rsidR="00163F3F" w:rsidRPr="00163F3F" w:rsidRDefault="00163F3F" w:rsidP="00163F3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снижение общего объема доходов, расходов и дефицита бюджета муниципального района по сравнению с ожидаемым исполнением 2012 года;</w:t>
      </w:r>
    </w:p>
    <w:p w:rsidR="00163F3F" w:rsidRPr="00163F3F" w:rsidRDefault="00163F3F" w:rsidP="00163F3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увеличение налоговых и неналоговых доходов бюджета муниципального района  по сравнению с ожидаемым исполнением 2012 года;</w:t>
      </w:r>
    </w:p>
    <w:p w:rsidR="00163F3F" w:rsidRPr="00163F3F" w:rsidRDefault="00163F3F" w:rsidP="00163F3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снижение расходов на социальную политику;</w:t>
      </w:r>
    </w:p>
    <w:p w:rsidR="00163F3F" w:rsidRPr="00163F3F" w:rsidRDefault="00163F3F" w:rsidP="00163F3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сокращение объема безвозмездных поступлений из краевого бюджета, в том числе на выравнивание уровня бюджетной обеспеченности муниципальных образований;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уменьшение общего объема межбюджетных трансфертов из бюджета муниципального района бюджетам сельских поселений на 21 506,8 тыс. рублей, или на 28,65% к уровню 2012 года</w:t>
      </w:r>
    </w:p>
    <w:p w:rsidR="00163F3F" w:rsidRPr="00163F3F" w:rsidRDefault="00163F3F" w:rsidP="00163F3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Общий объем доходов бюджета района на 2013 год прогнозируется в объеме  1 154,5 млн. рублей, с уменьшением по сравнению с утвержденными показателями на 2012 года на 228,5 млн. рублей или на 16,52 %, со снижением по сравнению с ожидаемым исполнение за 2012 года на  228,0 млн. рублей или на 16,49 %. </w:t>
      </w:r>
    </w:p>
    <w:p w:rsidR="00163F3F" w:rsidRPr="00163F3F" w:rsidRDefault="00163F3F" w:rsidP="00163F3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Налоговые и неналоговые доходы бюджета района прогнозируются в объеме 386,5 млн. рублей с ростом на 17,32% к плану на 2012 год и с ростом на 17,32% к ожидаемому исполнению за 2012 год.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Удельный вес налоговых и неналоговых доходов в общем объеме          доходов бюджета района составляет 33,47%.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безвозмездных поступлений</w:t>
      </w: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в  бюджет района прогнозируется в сумме 768,1 млн. рублей, в том числе</w:t>
      </w:r>
      <w:r w:rsidRPr="00163F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межбюджетных трансфертов из краевого бюджета на выравнивание бюджетной обеспеченности запланирован в сумме 195,5 млн. рублей, что меньше запланированных объемов бюджетных ассигнований из краевого бюджета на 2012 год на 285,5 млн. рублей, или на 27,1 %, в том числе:  уменьшен объем дотации  бюджету района на выравнивание бюджетной обеспеченности на 114,6 млн. рублей, или на 36,96%; уменьшен размер субсидий  на 64,7 млн. рублей, или на 97,26%; уменьшен размер субвенций  на 46,3 млн. рублей, или на 12,07%; уменьшен размер иных межбюджетных трансфертов  на 60,3 млн. рублей, или на  20,65 %.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 бюджета района  на 2013 год планируется в сумме 1 160,0 млн. рублей с уменьшением по  сравнению с утвержденными бюджетными назначениями на 2012 год и ожидаемым исполнение  на 248,4 млн. рублей, или на 17,64 %, в том числе  с уменьшением по  сравнению с утвержденными бюджетными назначениями на 2012 год и ожидаемым исполнение (без расходов по здравоохранению) на 92,0 млн.рублей, или на 7,35 %.</w:t>
      </w:r>
    </w:p>
    <w:p w:rsidR="00163F3F" w:rsidRPr="00163F3F" w:rsidRDefault="00163F3F" w:rsidP="001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Общий объем расходов на социально-культурную сферу составит 62,65%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объема расходов бюджета  района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то есть социальная направленность бюджета района сохраниться и в 2013 году.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Необходимо отметить, что в 2013  году уменьшение бюджетных          ассигнований бюджета района планируется в сравнении ожидаемым            исполнением бюджета района за 2012 год почти по всем разделам: 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01 «Общегосударственные вопросы» - на 4,1млн. рублей или на 4,04%;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03 «Безопасность и правоохранительная деятельность» - на 247,1 тыс. рублей или на 9,67%;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04 «Национальная экономика» -  на 24,3 млн. рублей или на  79,26%;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05 «Жилищно-коммунальное хозяйство» - 12,2 млн. рублей или 4,35%;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07 «Образование» - на 10,1 млн. рублей или на 1,67%;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08 «Культура и кинематография» -  на 18,2 млн. рублей или на 15,95%;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10 «Социальная политика» - на 5,2 млн. рублей или 14,11%;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11 «Физическая культура и спорт» - на 675,2 тыс. рублей или на 69,24%;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Lucida Sans Unicode" w:hAnsi="Times New Roman" w:cs="Times New Roman"/>
          <w:kern w:val="1"/>
          <w:sz w:val="28"/>
          <w:szCs w:val="28"/>
        </w:rPr>
        <w:t>14 «Межбюджетные трансферты бюджетам муниципальных образований» на 21,5 млн. рублей или 28,65%.</w:t>
      </w:r>
    </w:p>
    <w:p w:rsidR="00163F3F" w:rsidRPr="00163F3F" w:rsidRDefault="00163F3F" w:rsidP="00163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бюджетных ассигнований в 2013 году по сравнению с ожидаемым исполнением за 2012 год планируется по «охране окружающей среды» на 4,5 млн. рублей или в 17 раз, в связи с реализацией долгосрочной целевой  программы утвержденной постановлением администрации Ульчского муниципального района от  27.06.2012 № 319-па «Обращение с твердыми бытовыми и промышленными отходами на территории Ульчского муниципального района на 2020 год». 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Все установленные Бюджетным кодексом Российской Федерации ограничения соблюдены, в том числе: по предельному размеру дефицита бюджета района, предельному объему резервного фонда администрации района, муниципального долга и его верхнему пределу, расходов на обслуживание муниципального долга.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163F3F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Контрольно-счетная палата,  проведя экспертизу проекта бюджета  района, реком</w:t>
      </w:r>
      <w:r w:rsidR="001C07AC">
        <w:rPr>
          <w:rFonts w:ascii="Times New Roman" w:eastAsia="Calibri" w:hAnsi="Times New Roman" w:cs="Times New Roman"/>
          <w:sz w:val="28"/>
          <w:szCs w:val="28"/>
          <w:lang w:eastAsia="ar-SA"/>
        </w:rPr>
        <w:t>едовала</w:t>
      </w:r>
      <w:r w:rsidRPr="00163F3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Собранию депутатов  вынести  проект бюджета района на 2013 год (первое чтение) на рассмотрение.</w:t>
      </w:r>
    </w:p>
    <w:p w:rsidR="008744C0" w:rsidRDefault="008744C0" w:rsidP="008744C0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F3F" w:rsidRPr="00163F3F" w:rsidRDefault="00163F3F" w:rsidP="008744C0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Нормотворческая деятельность</w:t>
      </w:r>
    </w:p>
    <w:p w:rsidR="00163F3F" w:rsidRPr="00163F3F" w:rsidRDefault="00163F3F" w:rsidP="00163F3F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реализации Федеральный закон № 6-ФЗ и Положения «О Контрольно-счетной палате» за отчетный период Контрольно-счетной палатой разработано 7 проектов   и приято решением Собрания депутатов, в том числе: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- о внесении изменений и дополнений в Положение «О Контрольно-счетной палате»;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- о внесении изменений и дополнений в Устав Ульчского муниципального района;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- в новой редакции Положение «О Контрольно-счетной палате»;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- о внесении изменений и дополнений в Положение об оплате труда муниципальных служащих администрации района и Собрания депутатов;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- о внесении изменений и дополнений  в решение «О принятии Собранием депутатов полномочий Совета депутатов сельских поселений по осуществлению внешнего муниципального финансового контроля»;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Положение «О порядке выплаты ежемесячной надбавки к должностному окладу муниципального служащего за особые условия муниципальной службы, премии за выполнение особо важных и сложных заданий, единовременной выплаты при предоставлении ежегодного оплачиваемого отпуска, материальной помощи в Контрольно-счетной палате».</w:t>
      </w:r>
    </w:p>
    <w:p w:rsidR="00163F3F" w:rsidRPr="00163F3F" w:rsidRDefault="00782710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аспоряжением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председателя 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Контрольно-счетной палатой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25.01.2012 №</w:t>
      </w:r>
      <w:r w:rsidR="002A5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 </w:t>
      </w:r>
      <w:r w:rsidR="00163F3F"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  регламент Контрольно-счетной палаты.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течение отчетного года разработано и принято Контрольно-счетной палатой 5 стандартов</w:t>
      </w:r>
      <w:r w:rsidRPr="00163F3F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муниципального финансового контроля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ahoma"/>
          <w:sz w:val="28"/>
          <w:szCs w:val="28"/>
          <w:lang w:eastAsia="ar-SA"/>
        </w:rPr>
        <w:t>- порядок организации методологического обеспечения деятельности Контрольно-счетной палаты</w:t>
      </w:r>
      <w:r w:rsidR="00782710">
        <w:rPr>
          <w:rFonts w:ascii="Times New Roman" w:eastAsia="Times New Roman" w:hAnsi="Times New Roman" w:cs="Tahoma"/>
          <w:sz w:val="28"/>
          <w:szCs w:val="28"/>
          <w:lang w:eastAsia="ar-SA"/>
        </w:rPr>
        <w:t xml:space="preserve">  распоряжение от 03.02.2012 № 5)</w:t>
      </w:r>
      <w:r w:rsidRPr="00163F3F">
        <w:rPr>
          <w:rFonts w:ascii="Times New Roman" w:eastAsia="Times New Roman" w:hAnsi="Times New Roman" w:cs="Tahoma"/>
          <w:sz w:val="28"/>
          <w:szCs w:val="28"/>
          <w:lang w:eastAsia="ar-SA"/>
        </w:rPr>
        <w:t>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   - порядок планирования работы Контрольно-счетной палаты</w:t>
      </w:r>
      <w:r w:rsidR="00782710">
        <w:rPr>
          <w:rFonts w:ascii="Times New Roman" w:eastAsia="Calibri" w:hAnsi="Times New Roman" w:cs="Times New Roman"/>
          <w:sz w:val="28"/>
          <w:szCs w:val="28"/>
        </w:rPr>
        <w:t xml:space="preserve"> (распоряжение от 21.02.2012 №  9)</w:t>
      </w:r>
      <w:r w:rsidRPr="00163F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ahoma"/>
          <w:sz w:val="28"/>
          <w:szCs w:val="28"/>
          <w:lang w:eastAsia="ar-SA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t xml:space="preserve">         - порядок проведения  </w:t>
      </w:r>
      <w:r w:rsidRPr="00163F3F">
        <w:rPr>
          <w:rFonts w:ascii="Times New Roman" w:eastAsia="Times New Roman" w:hAnsi="Times New Roman" w:cs="Tahoma"/>
          <w:sz w:val="28"/>
          <w:szCs w:val="28"/>
          <w:lang w:eastAsia="ar-SA"/>
        </w:rPr>
        <w:t>экспертно-аналитического мероприятия</w:t>
      </w:r>
      <w:r w:rsidR="00782710">
        <w:rPr>
          <w:rFonts w:ascii="Times New Roman" w:eastAsia="Times New Roman" w:hAnsi="Times New Roman" w:cs="Tahoma"/>
          <w:sz w:val="28"/>
          <w:szCs w:val="28"/>
          <w:lang w:eastAsia="ar-SA"/>
        </w:rPr>
        <w:t xml:space="preserve"> (распоряжение от 05.02.2012 № 6)</w:t>
      </w:r>
      <w:r w:rsidRPr="00163F3F">
        <w:rPr>
          <w:rFonts w:ascii="Times New Roman" w:eastAsia="Times New Roman" w:hAnsi="Times New Roman" w:cs="Tahoma"/>
          <w:sz w:val="28"/>
          <w:szCs w:val="28"/>
          <w:lang w:eastAsia="ar-SA"/>
        </w:rPr>
        <w:t>;</w:t>
      </w:r>
    </w:p>
    <w:p w:rsidR="00163F3F" w:rsidRPr="00163F3F" w:rsidRDefault="00163F3F" w:rsidP="00163F3F">
      <w:pPr>
        <w:spacing w:after="0" w:line="240" w:lineRule="auto"/>
        <w:jc w:val="both"/>
        <w:rPr>
          <w:rFonts w:ascii="Times New Roman" w:eastAsia="Times New Roman" w:hAnsi="Times New Roman" w:cs="Tahoma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ahoma"/>
          <w:sz w:val="28"/>
          <w:szCs w:val="28"/>
          <w:lang w:eastAsia="ar-SA"/>
        </w:rPr>
        <w:t xml:space="preserve">         - внешняя проверка  годового отчета об исполнении бюджета района;</w:t>
      </w:r>
    </w:p>
    <w:p w:rsidR="00163F3F" w:rsidRPr="00163F3F" w:rsidRDefault="00163F3F" w:rsidP="00163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Times New Roman" w:hAnsi="Times New Roman" w:cs="Tahoma"/>
          <w:sz w:val="28"/>
          <w:szCs w:val="28"/>
          <w:lang w:eastAsia="ar-SA"/>
        </w:rPr>
        <w:t>о</w:t>
      </w:r>
      <w:r w:rsidRPr="00163F3F">
        <w:rPr>
          <w:rFonts w:ascii="Times New Roman" w:eastAsia="Calibri" w:hAnsi="Times New Roman" w:cs="Times New Roman"/>
          <w:sz w:val="28"/>
          <w:szCs w:val="28"/>
        </w:rPr>
        <w:t>бщие   правила   проведения      контрольного   мероприятия</w:t>
      </w:r>
      <w:r w:rsidR="00782710">
        <w:rPr>
          <w:rFonts w:ascii="Times New Roman" w:eastAsia="Calibri" w:hAnsi="Times New Roman" w:cs="Times New Roman"/>
          <w:sz w:val="28"/>
          <w:szCs w:val="28"/>
        </w:rPr>
        <w:t xml:space="preserve"> (распоряжение от </w:t>
      </w:r>
      <w:r w:rsidR="002A5746">
        <w:rPr>
          <w:rFonts w:ascii="Times New Roman" w:eastAsia="Calibri" w:hAnsi="Times New Roman" w:cs="Times New Roman"/>
          <w:sz w:val="28"/>
          <w:szCs w:val="28"/>
        </w:rPr>
        <w:t>21.02.2012 № 8)</w:t>
      </w:r>
      <w:r w:rsidRPr="00163F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3F3F" w:rsidRPr="00163F3F" w:rsidRDefault="00163F3F" w:rsidP="002A5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F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- общие   правила   проведения      контрольного    мероприятия</w:t>
      </w:r>
      <w:r w:rsidR="002A5746">
        <w:rPr>
          <w:rFonts w:ascii="Times New Roman" w:eastAsia="Calibri" w:hAnsi="Times New Roman" w:cs="Times New Roman"/>
          <w:sz w:val="28"/>
          <w:szCs w:val="28"/>
        </w:rPr>
        <w:t xml:space="preserve"> (распоряжение от 22.06.2012 № 20)</w:t>
      </w:r>
      <w:r w:rsidRPr="00163F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3F3F" w:rsidRPr="00163F3F" w:rsidRDefault="00163F3F" w:rsidP="00163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63F3F" w:rsidRPr="00163F3F" w:rsidRDefault="00163F3F" w:rsidP="00163F3F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 Взаимодействие Контрольно-счётной палаты с</w:t>
      </w:r>
    </w:p>
    <w:p w:rsidR="00163F3F" w:rsidRPr="00163F3F" w:rsidRDefault="00163F3F" w:rsidP="00163F3F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государственными и муниципальными органами</w:t>
      </w:r>
    </w:p>
    <w:p w:rsidR="00163F3F" w:rsidRPr="00163F3F" w:rsidRDefault="00163F3F" w:rsidP="00163F3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В соответствии со статьями 15, 18 Федерального закона № 6-ФЗ  заключено соглашение об информационном взаимодействии между Управлением Федерального казначейства по Хабаровскому краю и Контрольно-счетной палатой от 13.06.2012 года.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С целью развития, укрепления и совершенствования системы внешнего государственного и муниципального финансового контроля Хабаровского края, повышения его эффективности, координации деятельности контрольно-счетных органов Хабаровского края и укрепления сотрудничества между ними подписано  Соглашение о создании и деятельности Совета контрольно-счетных органов Хабаровского края</w:t>
      </w:r>
      <w:r w:rsidR="001C07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21 декабря 2012 года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. Одним из учредителей Совета является Контрольно-счетная палата Ульчского муниципального района, в лице председателя.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Исходя из единства целей и задач Контрольно-счетная палата активно    взаимодействовала с Собранием  депутатов, структурными подразделениями администрации района, руководителями муниципальных учреждений, оказывая регулярную консультативную помощь в решении вопросов местного значения.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В течение года должностные лица Контрольно-счетной палаты приняли участие в 12 заседаниях Собрания депутатов, а так же принимали участие в публичных слушаниях, в том числе: по рассмотрению отчета об исполнении бюджета района за 2011 год и рассмотрению проекта бюджета района на 2013год,  по рассмотрению проекта решения о внесении изменений и дополнений в Устав Ульчского муниципального района. </w:t>
      </w:r>
    </w:p>
    <w:p w:rsidR="00163F3F" w:rsidRP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F3F" w:rsidRPr="00163F3F" w:rsidRDefault="00163F3F" w:rsidP="00163F3F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6. Гласность</w:t>
      </w:r>
    </w:p>
    <w:p w:rsidR="00163F3F" w:rsidRDefault="00163F3F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A5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реализации положений статьи 38 Федерального закона от 06  октября 2003 года  № 131-ФЗ «Об общих принципах организации местного самоуправления в Российской Федерации» и статьи 19  Федерального закона №  6-ФЗ, а так же статьи 20 Положени</w:t>
      </w:r>
      <w:r w:rsidR="001C07AC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163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 Контрольно-счетной палате» Контрольно-счетная палата имеет страницу на официальном сайте Ульчского муниципального района в информационно-телекоммуникационной сети Интернет. На данной страничке  размещена общая информация о Контрольно-счетной палате, приведена нормативно-правовая база, сведения о составе и структуре Контрольно-счётной палаты,  результаты проведённых экспертно-аналитических мероприятий.</w:t>
      </w:r>
    </w:p>
    <w:p w:rsidR="00B21442" w:rsidRDefault="00B21442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746" w:rsidRDefault="002A5746" w:rsidP="00163F3F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Контрольно-</w:t>
      </w:r>
    </w:p>
    <w:p w:rsidR="00573D26" w:rsidRPr="00612FD0" w:rsidRDefault="002A5746" w:rsidP="00612FD0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счетной палаты                                                                              Г.Л.Бабина</w:t>
      </w:r>
    </w:p>
    <w:sectPr w:rsidR="00573D26" w:rsidRPr="00612FD0" w:rsidSect="00717DA6">
      <w:footerReference w:type="default" r:id="rId9"/>
      <w:pgSz w:w="11906" w:h="16838"/>
      <w:pgMar w:top="1134" w:right="567" w:bottom="1134" w:left="1985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345" w:rsidRDefault="00696345" w:rsidP="00163F3F">
      <w:pPr>
        <w:spacing w:after="0" w:line="240" w:lineRule="auto"/>
      </w:pPr>
      <w:r>
        <w:separator/>
      </w:r>
    </w:p>
  </w:endnote>
  <w:endnote w:type="continuationSeparator" w:id="0">
    <w:p w:rsidR="00696345" w:rsidRDefault="00696345" w:rsidP="00163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624" w:rsidRDefault="00F5559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C371E">
      <w:rPr>
        <w:noProof/>
      </w:rPr>
      <w:t>3</w:t>
    </w:r>
    <w:r>
      <w:fldChar w:fldCharType="end"/>
    </w:r>
  </w:p>
  <w:p w:rsidR="00983EF4" w:rsidRDefault="006963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345" w:rsidRDefault="00696345" w:rsidP="00163F3F">
      <w:pPr>
        <w:spacing w:after="0" w:line="240" w:lineRule="auto"/>
      </w:pPr>
      <w:r>
        <w:separator/>
      </w:r>
    </w:p>
  </w:footnote>
  <w:footnote w:type="continuationSeparator" w:id="0">
    <w:p w:rsidR="00696345" w:rsidRDefault="00696345" w:rsidP="00163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D6F90"/>
    <w:multiLevelType w:val="hybridMultilevel"/>
    <w:tmpl w:val="C75A3DC8"/>
    <w:lvl w:ilvl="0" w:tplc="148A371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2BE0533"/>
    <w:multiLevelType w:val="hybridMultilevel"/>
    <w:tmpl w:val="5E86BBFA"/>
    <w:lvl w:ilvl="0" w:tplc="F9E2103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F3F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85F0B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2AD8"/>
    <w:rsid w:val="000D466B"/>
    <w:rsid w:val="000E1BC7"/>
    <w:rsid w:val="000F324D"/>
    <w:rsid w:val="000F6D99"/>
    <w:rsid w:val="00103EC0"/>
    <w:rsid w:val="00105FF7"/>
    <w:rsid w:val="00112653"/>
    <w:rsid w:val="00114B30"/>
    <w:rsid w:val="0011508F"/>
    <w:rsid w:val="001178C3"/>
    <w:rsid w:val="00121E70"/>
    <w:rsid w:val="00126911"/>
    <w:rsid w:val="0013329C"/>
    <w:rsid w:val="001379F4"/>
    <w:rsid w:val="00137CE7"/>
    <w:rsid w:val="00142598"/>
    <w:rsid w:val="00144A24"/>
    <w:rsid w:val="0015007D"/>
    <w:rsid w:val="00151783"/>
    <w:rsid w:val="00154469"/>
    <w:rsid w:val="00154AE1"/>
    <w:rsid w:val="00162082"/>
    <w:rsid w:val="00163F3F"/>
    <w:rsid w:val="00166244"/>
    <w:rsid w:val="001669D4"/>
    <w:rsid w:val="001750E6"/>
    <w:rsid w:val="00181967"/>
    <w:rsid w:val="0018624D"/>
    <w:rsid w:val="001A3E27"/>
    <w:rsid w:val="001A4DD1"/>
    <w:rsid w:val="001A736A"/>
    <w:rsid w:val="001B147A"/>
    <w:rsid w:val="001B675A"/>
    <w:rsid w:val="001C07AC"/>
    <w:rsid w:val="001E0819"/>
    <w:rsid w:val="001F0BBD"/>
    <w:rsid w:val="001F23CD"/>
    <w:rsid w:val="001F42DE"/>
    <w:rsid w:val="001F47C7"/>
    <w:rsid w:val="001F5B3D"/>
    <w:rsid w:val="001F69FA"/>
    <w:rsid w:val="0020294C"/>
    <w:rsid w:val="00205C99"/>
    <w:rsid w:val="00212741"/>
    <w:rsid w:val="00214C7C"/>
    <w:rsid w:val="00226238"/>
    <w:rsid w:val="00230A79"/>
    <w:rsid w:val="00233BB0"/>
    <w:rsid w:val="00234903"/>
    <w:rsid w:val="002413EA"/>
    <w:rsid w:val="00254447"/>
    <w:rsid w:val="00255368"/>
    <w:rsid w:val="00260E7B"/>
    <w:rsid w:val="00270401"/>
    <w:rsid w:val="00272EDF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5746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C66"/>
    <w:rsid w:val="003017BF"/>
    <w:rsid w:val="003034EF"/>
    <w:rsid w:val="00310A6A"/>
    <w:rsid w:val="003118DF"/>
    <w:rsid w:val="00316A7B"/>
    <w:rsid w:val="00317A35"/>
    <w:rsid w:val="003277AD"/>
    <w:rsid w:val="00335294"/>
    <w:rsid w:val="00347870"/>
    <w:rsid w:val="00363400"/>
    <w:rsid w:val="00367174"/>
    <w:rsid w:val="00370520"/>
    <w:rsid w:val="00375E70"/>
    <w:rsid w:val="00377804"/>
    <w:rsid w:val="003849E7"/>
    <w:rsid w:val="00386E8F"/>
    <w:rsid w:val="00397E00"/>
    <w:rsid w:val="003A1428"/>
    <w:rsid w:val="003A2342"/>
    <w:rsid w:val="003A4AC8"/>
    <w:rsid w:val="003B1681"/>
    <w:rsid w:val="003B5E24"/>
    <w:rsid w:val="003B6BFD"/>
    <w:rsid w:val="003D2B2C"/>
    <w:rsid w:val="003D2F4C"/>
    <w:rsid w:val="003D411C"/>
    <w:rsid w:val="003D6A2A"/>
    <w:rsid w:val="003E14F8"/>
    <w:rsid w:val="003E2C18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3C12"/>
    <w:rsid w:val="00450F79"/>
    <w:rsid w:val="0046047E"/>
    <w:rsid w:val="00462464"/>
    <w:rsid w:val="00467523"/>
    <w:rsid w:val="00470921"/>
    <w:rsid w:val="004842EB"/>
    <w:rsid w:val="00484E34"/>
    <w:rsid w:val="00484EA8"/>
    <w:rsid w:val="00486FDD"/>
    <w:rsid w:val="00495FC5"/>
    <w:rsid w:val="004A212B"/>
    <w:rsid w:val="004A3D7C"/>
    <w:rsid w:val="004A4F01"/>
    <w:rsid w:val="004A5DFA"/>
    <w:rsid w:val="004B3E81"/>
    <w:rsid w:val="004C15CF"/>
    <w:rsid w:val="004D4077"/>
    <w:rsid w:val="004D620F"/>
    <w:rsid w:val="004E103C"/>
    <w:rsid w:val="004E2749"/>
    <w:rsid w:val="004E38B5"/>
    <w:rsid w:val="004E6EDE"/>
    <w:rsid w:val="004F47B2"/>
    <w:rsid w:val="004F64C9"/>
    <w:rsid w:val="004F6889"/>
    <w:rsid w:val="00504B0B"/>
    <w:rsid w:val="005170B7"/>
    <w:rsid w:val="00522976"/>
    <w:rsid w:val="005239D6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3D26"/>
    <w:rsid w:val="005757E1"/>
    <w:rsid w:val="00576267"/>
    <w:rsid w:val="00576AD6"/>
    <w:rsid w:val="00576CDC"/>
    <w:rsid w:val="00581A1E"/>
    <w:rsid w:val="005836CB"/>
    <w:rsid w:val="005944F7"/>
    <w:rsid w:val="0059533A"/>
    <w:rsid w:val="00595F1F"/>
    <w:rsid w:val="00596D56"/>
    <w:rsid w:val="005972A5"/>
    <w:rsid w:val="00597A34"/>
    <w:rsid w:val="005A1F17"/>
    <w:rsid w:val="005B3BE8"/>
    <w:rsid w:val="005B42BF"/>
    <w:rsid w:val="005C0EED"/>
    <w:rsid w:val="005C109E"/>
    <w:rsid w:val="005C1C06"/>
    <w:rsid w:val="005C54AF"/>
    <w:rsid w:val="005D471B"/>
    <w:rsid w:val="005E27A6"/>
    <w:rsid w:val="005E6065"/>
    <w:rsid w:val="005E79BF"/>
    <w:rsid w:val="005F2145"/>
    <w:rsid w:val="005F7CFB"/>
    <w:rsid w:val="00600BF0"/>
    <w:rsid w:val="00601492"/>
    <w:rsid w:val="0060339E"/>
    <w:rsid w:val="006060C9"/>
    <w:rsid w:val="00612FD0"/>
    <w:rsid w:val="0061735C"/>
    <w:rsid w:val="00627B52"/>
    <w:rsid w:val="0063011E"/>
    <w:rsid w:val="00633BEA"/>
    <w:rsid w:val="0064032E"/>
    <w:rsid w:val="006421E5"/>
    <w:rsid w:val="00653AA1"/>
    <w:rsid w:val="006625A2"/>
    <w:rsid w:val="0066777D"/>
    <w:rsid w:val="006700E4"/>
    <w:rsid w:val="00670718"/>
    <w:rsid w:val="00674523"/>
    <w:rsid w:val="006819DC"/>
    <w:rsid w:val="006926E0"/>
    <w:rsid w:val="0069421B"/>
    <w:rsid w:val="00695910"/>
    <w:rsid w:val="00696345"/>
    <w:rsid w:val="006A1A3F"/>
    <w:rsid w:val="006A2ACC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31568"/>
    <w:rsid w:val="0073298A"/>
    <w:rsid w:val="00733060"/>
    <w:rsid w:val="00736C7B"/>
    <w:rsid w:val="0074544F"/>
    <w:rsid w:val="00753F3F"/>
    <w:rsid w:val="007544A4"/>
    <w:rsid w:val="00757D33"/>
    <w:rsid w:val="00763433"/>
    <w:rsid w:val="00770ACA"/>
    <w:rsid w:val="0077302A"/>
    <w:rsid w:val="007737AF"/>
    <w:rsid w:val="007737F3"/>
    <w:rsid w:val="00776A1F"/>
    <w:rsid w:val="00780057"/>
    <w:rsid w:val="00782710"/>
    <w:rsid w:val="00782818"/>
    <w:rsid w:val="007861B9"/>
    <w:rsid w:val="00787651"/>
    <w:rsid w:val="0079369F"/>
    <w:rsid w:val="007C04B6"/>
    <w:rsid w:val="007C3F7F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802F2F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744C0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C0BC4"/>
    <w:rsid w:val="008C1C9A"/>
    <w:rsid w:val="008D09CF"/>
    <w:rsid w:val="008D1ADF"/>
    <w:rsid w:val="008D3AB0"/>
    <w:rsid w:val="008D4990"/>
    <w:rsid w:val="008D6254"/>
    <w:rsid w:val="008E0F75"/>
    <w:rsid w:val="008E380A"/>
    <w:rsid w:val="008E482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36D7"/>
    <w:rsid w:val="00926203"/>
    <w:rsid w:val="00927AB8"/>
    <w:rsid w:val="00931D31"/>
    <w:rsid w:val="00936A2C"/>
    <w:rsid w:val="00936C2A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3682"/>
    <w:rsid w:val="00975FAB"/>
    <w:rsid w:val="00983581"/>
    <w:rsid w:val="00985C21"/>
    <w:rsid w:val="00987911"/>
    <w:rsid w:val="00993C33"/>
    <w:rsid w:val="009943B2"/>
    <w:rsid w:val="00997466"/>
    <w:rsid w:val="009A0678"/>
    <w:rsid w:val="009A2559"/>
    <w:rsid w:val="009A28BD"/>
    <w:rsid w:val="009A51B3"/>
    <w:rsid w:val="009B55BC"/>
    <w:rsid w:val="009C17B1"/>
    <w:rsid w:val="009C371E"/>
    <w:rsid w:val="009D4FC6"/>
    <w:rsid w:val="009D698E"/>
    <w:rsid w:val="009E0F20"/>
    <w:rsid w:val="009E47F1"/>
    <w:rsid w:val="009F6076"/>
    <w:rsid w:val="009F7F3E"/>
    <w:rsid w:val="00A03968"/>
    <w:rsid w:val="00A11500"/>
    <w:rsid w:val="00A15044"/>
    <w:rsid w:val="00A17F97"/>
    <w:rsid w:val="00A25AB8"/>
    <w:rsid w:val="00A262B6"/>
    <w:rsid w:val="00A32CE2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92791"/>
    <w:rsid w:val="00A963B7"/>
    <w:rsid w:val="00AA1F4E"/>
    <w:rsid w:val="00AB3A29"/>
    <w:rsid w:val="00AB6294"/>
    <w:rsid w:val="00AB6475"/>
    <w:rsid w:val="00AB6EC2"/>
    <w:rsid w:val="00AB720E"/>
    <w:rsid w:val="00AC513D"/>
    <w:rsid w:val="00AC5871"/>
    <w:rsid w:val="00AD2000"/>
    <w:rsid w:val="00AD53CF"/>
    <w:rsid w:val="00AD5BE8"/>
    <w:rsid w:val="00AD677E"/>
    <w:rsid w:val="00AE35E1"/>
    <w:rsid w:val="00AF0789"/>
    <w:rsid w:val="00AF1B87"/>
    <w:rsid w:val="00AF2C87"/>
    <w:rsid w:val="00AF4E5F"/>
    <w:rsid w:val="00B015C1"/>
    <w:rsid w:val="00B0207E"/>
    <w:rsid w:val="00B025E1"/>
    <w:rsid w:val="00B0686F"/>
    <w:rsid w:val="00B115DB"/>
    <w:rsid w:val="00B11A44"/>
    <w:rsid w:val="00B16ED8"/>
    <w:rsid w:val="00B20D4E"/>
    <w:rsid w:val="00B21442"/>
    <w:rsid w:val="00B222A9"/>
    <w:rsid w:val="00B22EE5"/>
    <w:rsid w:val="00B24469"/>
    <w:rsid w:val="00B44FB2"/>
    <w:rsid w:val="00B50C82"/>
    <w:rsid w:val="00B514B0"/>
    <w:rsid w:val="00B617AF"/>
    <w:rsid w:val="00B77294"/>
    <w:rsid w:val="00B80CF0"/>
    <w:rsid w:val="00B86783"/>
    <w:rsid w:val="00B928CB"/>
    <w:rsid w:val="00B93752"/>
    <w:rsid w:val="00BB1A62"/>
    <w:rsid w:val="00BB4727"/>
    <w:rsid w:val="00BC4B8F"/>
    <w:rsid w:val="00BD07A3"/>
    <w:rsid w:val="00BD41B6"/>
    <w:rsid w:val="00BD4994"/>
    <w:rsid w:val="00BD6307"/>
    <w:rsid w:val="00BE2433"/>
    <w:rsid w:val="00BE6373"/>
    <w:rsid w:val="00BE6494"/>
    <w:rsid w:val="00C0086B"/>
    <w:rsid w:val="00C00A4F"/>
    <w:rsid w:val="00C02C4E"/>
    <w:rsid w:val="00C042BA"/>
    <w:rsid w:val="00C04F8D"/>
    <w:rsid w:val="00C10669"/>
    <w:rsid w:val="00C13C05"/>
    <w:rsid w:val="00C208A4"/>
    <w:rsid w:val="00C300E9"/>
    <w:rsid w:val="00C31F46"/>
    <w:rsid w:val="00C34A4A"/>
    <w:rsid w:val="00C4393B"/>
    <w:rsid w:val="00C45432"/>
    <w:rsid w:val="00C54792"/>
    <w:rsid w:val="00C57407"/>
    <w:rsid w:val="00C5783B"/>
    <w:rsid w:val="00C6568A"/>
    <w:rsid w:val="00C70A2B"/>
    <w:rsid w:val="00C7563F"/>
    <w:rsid w:val="00C7798E"/>
    <w:rsid w:val="00C83B16"/>
    <w:rsid w:val="00C856B2"/>
    <w:rsid w:val="00C8581C"/>
    <w:rsid w:val="00CA78D1"/>
    <w:rsid w:val="00CB19AA"/>
    <w:rsid w:val="00CB5B26"/>
    <w:rsid w:val="00CB5F1E"/>
    <w:rsid w:val="00CC32D7"/>
    <w:rsid w:val="00CD2EF7"/>
    <w:rsid w:val="00CD3C65"/>
    <w:rsid w:val="00CD4546"/>
    <w:rsid w:val="00CD481E"/>
    <w:rsid w:val="00CD5965"/>
    <w:rsid w:val="00CD5CFC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4D0"/>
    <w:rsid w:val="00D54512"/>
    <w:rsid w:val="00D550F9"/>
    <w:rsid w:val="00D5566A"/>
    <w:rsid w:val="00D57B5B"/>
    <w:rsid w:val="00D6648F"/>
    <w:rsid w:val="00D7261C"/>
    <w:rsid w:val="00D81F93"/>
    <w:rsid w:val="00D850A0"/>
    <w:rsid w:val="00D95040"/>
    <w:rsid w:val="00D96E72"/>
    <w:rsid w:val="00DA3A66"/>
    <w:rsid w:val="00DB00D9"/>
    <w:rsid w:val="00DB64C9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4CE7"/>
    <w:rsid w:val="00E172C4"/>
    <w:rsid w:val="00E2294C"/>
    <w:rsid w:val="00E24BF2"/>
    <w:rsid w:val="00E27FF6"/>
    <w:rsid w:val="00E31C1C"/>
    <w:rsid w:val="00E33C4B"/>
    <w:rsid w:val="00E34826"/>
    <w:rsid w:val="00E35AA0"/>
    <w:rsid w:val="00E37489"/>
    <w:rsid w:val="00E3783E"/>
    <w:rsid w:val="00E42195"/>
    <w:rsid w:val="00E438C0"/>
    <w:rsid w:val="00E45F60"/>
    <w:rsid w:val="00E5224A"/>
    <w:rsid w:val="00E52A34"/>
    <w:rsid w:val="00E62327"/>
    <w:rsid w:val="00E63D40"/>
    <w:rsid w:val="00E75EE0"/>
    <w:rsid w:val="00E80595"/>
    <w:rsid w:val="00E810FF"/>
    <w:rsid w:val="00E8600D"/>
    <w:rsid w:val="00E87F4B"/>
    <w:rsid w:val="00E90C3C"/>
    <w:rsid w:val="00EA2C24"/>
    <w:rsid w:val="00EA3547"/>
    <w:rsid w:val="00EB2BE7"/>
    <w:rsid w:val="00EB786A"/>
    <w:rsid w:val="00EC0BEF"/>
    <w:rsid w:val="00EC1A2D"/>
    <w:rsid w:val="00EC36C9"/>
    <w:rsid w:val="00EC3CAF"/>
    <w:rsid w:val="00EC52BC"/>
    <w:rsid w:val="00ED23D1"/>
    <w:rsid w:val="00ED34C2"/>
    <w:rsid w:val="00EE2326"/>
    <w:rsid w:val="00EE5851"/>
    <w:rsid w:val="00EE5C6E"/>
    <w:rsid w:val="00EF31BA"/>
    <w:rsid w:val="00EF65D1"/>
    <w:rsid w:val="00F03E03"/>
    <w:rsid w:val="00F11585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5591"/>
    <w:rsid w:val="00F56107"/>
    <w:rsid w:val="00F67807"/>
    <w:rsid w:val="00F757C7"/>
    <w:rsid w:val="00F825F4"/>
    <w:rsid w:val="00F83E72"/>
    <w:rsid w:val="00F864F7"/>
    <w:rsid w:val="00F866CC"/>
    <w:rsid w:val="00FA06B8"/>
    <w:rsid w:val="00FC0171"/>
    <w:rsid w:val="00FC12C8"/>
    <w:rsid w:val="00FC4A95"/>
    <w:rsid w:val="00FC73E6"/>
    <w:rsid w:val="00FC7421"/>
    <w:rsid w:val="00FD2F18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63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63F3F"/>
  </w:style>
  <w:style w:type="paragraph" w:styleId="a5">
    <w:name w:val="header"/>
    <w:basedOn w:val="a"/>
    <w:link w:val="a6"/>
    <w:uiPriority w:val="99"/>
    <w:rsid w:val="00163F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163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5944F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C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63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63F3F"/>
  </w:style>
  <w:style w:type="paragraph" w:styleId="a5">
    <w:name w:val="header"/>
    <w:basedOn w:val="a"/>
    <w:link w:val="a6"/>
    <w:uiPriority w:val="99"/>
    <w:rsid w:val="00163F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163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5944F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C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996D9-72D0-46D5-9E4B-D4422F22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4478</Words>
  <Characters>25530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2013-02-01T05:56:00Z</cp:lastPrinted>
  <dcterms:created xsi:type="dcterms:W3CDTF">2013-01-31T05:10:00Z</dcterms:created>
  <dcterms:modified xsi:type="dcterms:W3CDTF">2013-02-01T06:02:00Z</dcterms:modified>
</cp:coreProperties>
</file>